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58" w:type="dxa"/>
        <w:tblInd w:w="-601" w:type="dxa"/>
        <w:tblLook w:val="04A0" w:firstRow="1" w:lastRow="0" w:firstColumn="1" w:lastColumn="0" w:noHBand="0" w:noVBand="1"/>
      </w:tblPr>
      <w:tblGrid>
        <w:gridCol w:w="694"/>
        <w:gridCol w:w="1140"/>
        <w:gridCol w:w="1027"/>
        <w:gridCol w:w="813"/>
        <w:gridCol w:w="1310"/>
        <w:gridCol w:w="1112"/>
        <w:gridCol w:w="165"/>
        <w:gridCol w:w="2968"/>
        <w:gridCol w:w="729"/>
      </w:tblGrid>
      <w:tr w:rsidR="001A6637" w:rsidRPr="001A6637" w:rsidTr="001A6637">
        <w:trPr>
          <w:gridBefore w:val="1"/>
          <w:wBefore w:w="694" w:type="dxa"/>
          <w:trHeight w:val="6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5E62" w:rsidRDefault="00CF5E62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</w:p>
          <w:p w:rsidR="00CF5E62" w:rsidRDefault="00CF5E62" w:rsidP="00C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Анализ КДР 7 класс МБОУ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Крутоярская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СОШ 2020-2021 учебный год»</w:t>
            </w:r>
          </w:p>
          <w:p w:rsidR="00CF5E62" w:rsidRDefault="00CF5E62" w:rsidP="00CF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выполнения заданий КДР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класс по математике 2020-2021 учебный год.</w:t>
            </w:r>
          </w:p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6637" w:rsidRPr="001A6637" w:rsidTr="001A6637">
        <w:trPr>
          <w:gridBefore w:val="1"/>
          <w:wBefore w:w="694" w:type="dxa"/>
          <w:trHeight w:val="129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среднем по классу</w:t>
            </w:r>
          </w:p>
        </w:tc>
        <w:tc>
          <w:tcPr>
            <w:tcW w:w="386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среднем по краю 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D7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  <w:bookmarkEnd w:id="0"/>
          </w:p>
        </w:tc>
        <w:tc>
          <w:tcPr>
            <w:tcW w:w="386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39,55%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" w:name="RANGE!D8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26,32%</w:t>
            </w:r>
            <w:bookmarkEnd w:id="1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53,42%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" w:name="RANGE!D9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  <w:bookmarkEnd w:id="2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56,70%</w:t>
            </w:r>
          </w:p>
        </w:tc>
      </w:tr>
      <w:tr w:rsidR="001A6637" w:rsidRPr="001A6637" w:rsidTr="001A6637">
        <w:trPr>
          <w:gridBefore w:val="1"/>
          <w:wBefore w:w="694" w:type="dxa"/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3" w:name="RANGE!D10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15,79%</w:t>
            </w:r>
            <w:bookmarkEnd w:id="3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33,27%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4" w:name="RANGE!D11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94,74%</w:t>
            </w:r>
            <w:bookmarkEnd w:id="4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68,48%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5" w:name="RANGE!D12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94,74%</w:t>
            </w:r>
            <w:bookmarkEnd w:id="5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57,12%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6" w:name="RANGE!D1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44,74%</w:t>
            </w:r>
            <w:bookmarkEnd w:id="6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23,76%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7" w:name="RANGE!D14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7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8" w:name="RANGE!D15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  <w:bookmarkEnd w:id="8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48,01%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9" w:name="RANGE!D16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81,58%</w:t>
            </w:r>
            <w:bookmarkEnd w:id="9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31,16%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0" w:name="RANGE!D17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31,58%</w:t>
            </w:r>
            <w:bookmarkEnd w:id="10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1" w:name="RANGE!D18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10,53%</w:t>
            </w:r>
            <w:bookmarkEnd w:id="11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2" w:name="RANGE!D19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89,47%</w:t>
            </w:r>
            <w:bookmarkEnd w:id="12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80,01%</w:t>
            </w:r>
          </w:p>
        </w:tc>
      </w:tr>
      <w:tr w:rsidR="001A6637" w:rsidRPr="001A6637" w:rsidTr="001A6637">
        <w:trPr>
          <w:gridBefore w:val="1"/>
          <w:wBefore w:w="694" w:type="dxa"/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3" w:name="RANGE!D20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78,95%</w:t>
            </w:r>
            <w:bookmarkEnd w:id="13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58,89%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4" w:name="RANGE!D21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73,68%</w:t>
            </w:r>
            <w:bookmarkEnd w:id="14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45,44%</w:t>
            </w:r>
          </w:p>
        </w:tc>
      </w:tr>
      <w:tr w:rsidR="001A6637" w:rsidRPr="001A6637" w:rsidTr="001A6637">
        <w:trPr>
          <w:gridBefore w:val="1"/>
          <w:wBefore w:w="694" w:type="dxa"/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5" w:name="RANGE!D22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28,95%</w:t>
            </w:r>
            <w:bookmarkEnd w:id="15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39,84%</w:t>
            </w:r>
          </w:p>
        </w:tc>
      </w:tr>
      <w:tr w:rsidR="001A6637" w:rsidRPr="001A6637" w:rsidTr="001A6637">
        <w:trPr>
          <w:gridBefore w:val="1"/>
          <w:wBefore w:w="694" w:type="dxa"/>
          <w:trHeight w:val="315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2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6" w:name="RANGE!D2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15,37</w:t>
            </w:r>
            <w:bookmarkEnd w:id="16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</w:t>
            </w:r>
          </w:p>
        </w:tc>
      </w:tr>
      <w:tr w:rsidR="001A6637" w:rsidRPr="001A6637" w:rsidTr="001A6637">
        <w:trPr>
          <w:gridBefore w:val="1"/>
          <w:wBefore w:w="694" w:type="dxa"/>
          <w:trHeight w:val="33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Средний процент первичного балла </w:t>
            </w:r>
            <w:proofErr w:type="gramStart"/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1A66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максимально возможного</w:t>
            </w:r>
          </w:p>
        </w:tc>
        <w:tc>
          <w:tcPr>
            <w:tcW w:w="242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7" w:name="RANGE!D24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59,11%</w:t>
            </w:r>
            <w:bookmarkEnd w:id="17"/>
          </w:p>
        </w:tc>
        <w:tc>
          <w:tcPr>
            <w:tcW w:w="386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37,42%</w:t>
            </w:r>
          </w:p>
        </w:tc>
      </w:tr>
      <w:tr w:rsidR="001A6637" w:rsidRPr="001A6637" w:rsidTr="001A6637">
        <w:trPr>
          <w:gridAfter w:val="1"/>
          <w:wAfter w:w="729" w:type="dxa"/>
          <w:trHeight w:val="690"/>
        </w:trPr>
        <w:tc>
          <w:tcPr>
            <w:tcW w:w="92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</w:t>
            </w:r>
            <w:proofErr w:type="gramStart"/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уровням математической грамотности</w:t>
            </w:r>
          </w:p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1A6637" w:rsidRPr="001A6637" w:rsidTr="001A6637">
        <w:trPr>
          <w:gridAfter w:val="1"/>
          <w:wAfter w:w="729" w:type="dxa"/>
          <w:trHeight w:val="495"/>
        </w:trPr>
        <w:tc>
          <w:tcPr>
            <w:tcW w:w="2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2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2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1A6637" w:rsidRPr="001A6637" w:rsidTr="001A6637">
        <w:trPr>
          <w:gridAfter w:val="1"/>
          <w:wAfter w:w="729" w:type="dxa"/>
          <w:trHeight w:val="780"/>
        </w:trPr>
        <w:tc>
          <w:tcPr>
            <w:tcW w:w="2861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8" w:name="RANGE!H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  <w:bookmarkEnd w:id="18"/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19" w:name="RANGE!I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15,79%</w:t>
            </w:r>
            <w:bookmarkEnd w:id="19"/>
          </w:p>
        </w:tc>
        <w:tc>
          <w:tcPr>
            <w:tcW w:w="29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0" w:name="RANGE!J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84,21%</w:t>
            </w:r>
            <w:bookmarkEnd w:id="20"/>
          </w:p>
        </w:tc>
      </w:tr>
      <w:tr w:rsidR="001A6637" w:rsidRPr="001A6637" w:rsidTr="001A6637">
        <w:trPr>
          <w:gridAfter w:val="1"/>
          <w:wAfter w:w="729" w:type="dxa"/>
          <w:trHeight w:val="510"/>
        </w:trPr>
        <w:tc>
          <w:tcPr>
            <w:tcW w:w="286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2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32,56%</w:t>
            </w:r>
          </w:p>
        </w:tc>
        <w:tc>
          <w:tcPr>
            <w:tcW w:w="127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46,09%</w:t>
            </w:r>
          </w:p>
        </w:tc>
        <w:tc>
          <w:tcPr>
            <w:tcW w:w="2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21,36%</w:t>
            </w:r>
          </w:p>
        </w:tc>
      </w:tr>
    </w:tbl>
    <w:p w:rsidR="001A6637" w:rsidRDefault="001A6637"/>
    <w:tbl>
      <w:tblPr>
        <w:tblW w:w="9938" w:type="dxa"/>
        <w:tblInd w:w="-601" w:type="dxa"/>
        <w:tblLook w:val="04A0" w:firstRow="1" w:lastRow="0" w:firstColumn="1" w:lastColumn="0" w:noHBand="0" w:noVBand="1"/>
      </w:tblPr>
      <w:tblGrid>
        <w:gridCol w:w="2440"/>
        <w:gridCol w:w="1860"/>
        <w:gridCol w:w="2020"/>
        <w:gridCol w:w="2065"/>
        <w:gridCol w:w="1553"/>
      </w:tblGrid>
      <w:tr w:rsidR="001A6637" w:rsidRPr="001A6637" w:rsidTr="001A6637">
        <w:trPr>
          <w:trHeight w:val="330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процент освоения </w:t>
            </w:r>
            <w:proofErr w:type="spellStart"/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областей</w:t>
            </w:r>
          </w:p>
          <w:p w:rsidR="00424A11" w:rsidRPr="001A6637" w:rsidRDefault="00424A11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A6637" w:rsidRPr="001A6637" w:rsidTr="001A6637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применять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интерпретировать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</w:p>
        </w:tc>
      </w:tr>
      <w:tr w:rsidR="001A6637" w:rsidRPr="001A6637" w:rsidTr="001A6637">
        <w:trPr>
          <w:trHeight w:val="33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1A6637" w:rsidRPr="001A6637" w:rsidTr="00424A11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1" w:name="RANGE!H2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32,33%</w:t>
            </w:r>
            <w:bookmarkEnd w:id="21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2" w:name="RANGE!I2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92,48%</w:t>
            </w:r>
            <w:bookmarkStart w:id="23" w:name="_GoBack"/>
            <w:bookmarkEnd w:id="22"/>
            <w:bookmarkEnd w:id="23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4" w:name="RANGE!J2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49,62%</w:t>
            </w:r>
            <w:bookmarkEnd w:id="24"/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25" w:name="RANGE!K23"/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63,16%</w:t>
            </w:r>
            <w:bookmarkEnd w:id="25"/>
          </w:p>
        </w:tc>
      </w:tr>
      <w:tr w:rsidR="001A6637" w:rsidRPr="001A6637" w:rsidTr="001A6637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42,87%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A6637" w:rsidRPr="001A6637" w:rsidRDefault="001A6637" w:rsidP="001A66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A66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37,29%</w:t>
            </w:r>
          </w:p>
        </w:tc>
      </w:tr>
    </w:tbl>
    <w:p w:rsidR="001A6637" w:rsidRDefault="001A6637"/>
    <w:p w:rsidR="001A6637" w:rsidRDefault="001A6637">
      <w:r>
        <w:rPr>
          <w:noProof/>
          <w:lang w:eastAsia="ru-RU"/>
        </w:rPr>
        <w:drawing>
          <wp:inline distT="0" distB="0" distL="0" distR="0" wp14:anchorId="2139827D" wp14:editId="2B2865F4">
            <wp:extent cx="5291666" cy="2807227"/>
            <wp:effectExtent l="0" t="0" r="2349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4A11" w:rsidRDefault="00424A11"/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1140"/>
        <w:gridCol w:w="2561"/>
        <w:gridCol w:w="2977"/>
        <w:gridCol w:w="2409"/>
      </w:tblGrid>
      <w:tr w:rsidR="00424A11" w:rsidRPr="00424A11" w:rsidTr="00424A11">
        <w:trPr>
          <w:trHeight w:val="630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выполнения заданий КДР</w:t>
            </w:r>
            <w:proofErr w:type="gramStart"/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 класс </w:t>
            </w:r>
          </w:p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24A11" w:rsidRPr="00424A11" w:rsidTr="00424A11">
        <w:trPr>
          <w:trHeight w:val="1290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баллов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среднем по классу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Процент верно </w:t>
            </w:r>
            <w:proofErr w:type="gramStart"/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выполнивших</w:t>
            </w:r>
            <w:proofErr w:type="gramEnd"/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среднем по краю 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39,55%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15,38%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53,42%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65,38%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56,70%</w:t>
            </w:r>
          </w:p>
        </w:tc>
      </w:tr>
      <w:tr w:rsidR="00424A11" w:rsidRPr="00424A11" w:rsidTr="00424A11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33,27%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84,62%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68,48%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57,12%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23,76%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7,03%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48,01%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80,77%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31,16%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10,76%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4,10%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80,01%</w:t>
            </w:r>
          </w:p>
        </w:tc>
      </w:tr>
      <w:tr w:rsidR="00424A11" w:rsidRPr="00424A11" w:rsidTr="00424A11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46,15%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58,89%</w:t>
            </w:r>
          </w:p>
        </w:tc>
      </w:tr>
      <w:tr w:rsidR="00424A11" w:rsidRPr="00424A11" w:rsidTr="00424A11">
        <w:trPr>
          <w:trHeight w:val="315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96,15%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45,44%</w:t>
            </w:r>
          </w:p>
        </w:tc>
      </w:tr>
      <w:tr w:rsidR="00424A11" w:rsidRPr="00424A11" w:rsidTr="00424A11">
        <w:trPr>
          <w:trHeight w:val="330"/>
        </w:trPr>
        <w:tc>
          <w:tcPr>
            <w:tcW w:w="11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AEEF3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26,92%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39,84%</w:t>
            </w:r>
          </w:p>
        </w:tc>
      </w:tr>
      <w:tr w:rsidR="00424A11" w:rsidRPr="00424A11" w:rsidTr="00424A11">
        <w:trPr>
          <w:trHeight w:val="315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AEEF3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Средний первичный балл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14,31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00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9,73</w:t>
            </w:r>
          </w:p>
        </w:tc>
      </w:tr>
      <w:tr w:rsidR="00424A11" w:rsidRPr="00424A11" w:rsidTr="00424A11">
        <w:trPr>
          <w:trHeight w:val="330"/>
        </w:trPr>
        <w:tc>
          <w:tcPr>
            <w:tcW w:w="3701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Средний процент первичного балла </w:t>
            </w:r>
            <w:proofErr w:type="gramStart"/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</w:t>
            </w:r>
            <w:proofErr w:type="gramEnd"/>
            <w:r w:rsidRPr="00424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максимально возможного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55,03%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37,42%</w:t>
            </w:r>
          </w:p>
        </w:tc>
      </w:tr>
    </w:tbl>
    <w:p w:rsidR="00424A11" w:rsidRDefault="00424A11"/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861"/>
        <w:gridCol w:w="2123"/>
        <w:gridCol w:w="1694"/>
        <w:gridCol w:w="3118"/>
      </w:tblGrid>
      <w:tr w:rsidR="00424A11" w:rsidRPr="00424A11" w:rsidTr="00424A11">
        <w:trPr>
          <w:trHeight w:val="69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участников КДР</w:t>
            </w:r>
            <w:proofErr w:type="gramStart"/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по уровням математической грамотности</w:t>
            </w:r>
          </w:p>
        </w:tc>
      </w:tr>
      <w:tr w:rsidR="00424A11" w:rsidRPr="00424A11" w:rsidTr="00424A11">
        <w:trPr>
          <w:trHeight w:val="495"/>
        </w:trPr>
        <w:tc>
          <w:tcPr>
            <w:tcW w:w="2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Ниже базового</w:t>
            </w:r>
          </w:p>
        </w:tc>
        <w:tc>
          <w:tcPr>
            <w:tcW w:w="16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Повышенный</w:t>
            </w:r>
          </w:p>
        </w:tc>
      </w:tr>
      <w:tr w:rsidR="00424A11" w:rsidRPr="00424A11" w:rsidTr="00424A11">
        <w:trPr>
          <w:trHeight w:val="78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7,69%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23,08%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69,23%</w:t>
            </w:r>
          </w:p>
        </w:tc>
      </w:tr>
      <w:tr w:rsidR="00424A11" w:rsidRPr="00424A11" w:rsidTr="00424A11">
        <w:trPr>
          <w:trHeight w:val="510"/>
        </w:trPr>
        <w:tc>
          <w:tcPr>
            <w:tcW w:w="28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32,56%</w:t>
            </w:r>
          </w:p>
        </w:tc>
        <w:tc>
          <w:tcPr>
            <w:tcW w:w="16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46,09%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21,36%</w:t>
            </w:r>
          </w:p>
        </w:tc>
      </w:tr>
    </w:tbl>
    <w:p w:rsidR="00424A11" w:rsidRDefault="00424A11"/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40"/>
        <w:gridCol w:w="1860"/>
        <w:gridCol w:w="2020"/>
        <w:gridCol w:w="2065"/>
        <w:gridCol w:w="1553"/>
      </w:tblGrid>
      <w:tr w:rsidR="00424A11" w:rsidRPr="00424A11" w:rsidTr="00424A11">
        <w:trPr>
          <w:trHeight w:val="330"/>
        </w:trPr>
        <w:tc>
          <w:tcPr>
            <w:tcW w:w="6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Средний процент освоения </w:t>
            </w:r>
            <w:proofErr w:type="spellStart"/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компетентностных</w:t>
            </w:r>
            <w:proofErr w:type="spellEnd"/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областей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4A11" w:rsidRPr="00424A11" w:rsidTr="00424A11">
        <w:trPr>
          <w:trHeight w:val="315"/>
        </w:trPr>
        <w:tc>
          <w:tcPr>
            <w:tcW w:w="2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формулировать</w:t>
            </w:r>
          </w:p>
        </w:tc>
        <w:tc>
          <w:tcPr>
            <w:tcW w:w="20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применять</w:t>
            </w:r>
          </w:p>
        </w:tc>
        <w:tc>
          <w:tcPr>
            <w:tcW w:w="2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интерпретировать</w:t>
            </w:r>
          </w:p>
        </w:tc>
        <w:tc>
          <w:tcPr>
            <w:tcW w:w="15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рассуждать</w:t>
            </w:r>
          </w:p>
        </w:tc>
      </w:tr>
      <w:tr w:rsidR="00424A11" w:rsidRPr="00424A11" w:rsidTr="00424A11">
        <w:trPr>
          <w:trHeight w:val="330"/>
        </w:trPr>
        <w:tc>
          <w:tcPr>
            <w:tcW w:w="24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24A11" w:rsidRPr="00424A11" w:rsidTr="00424A11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38,46%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92,31%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41,76%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44,62%</w:t>
            </w:r>
          </w:p>
        </w:tc>
      </w:tr>
      <w:tr w:rsidR="00424A11" w:rsidRPr="00424A11" w:rsidTr="00424A11">
        <w:trPr>
          <w:trHeight w:val="330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Красноярский край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22,82%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48,28%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42,87%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4A11" w:rsidRPr="00424A11" w:rsidRDefault="00424A11" w:rsidP="00424A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4A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37,29%</w:t>
            </w:r>
          </w:p>
        </w:tc>
      </w:tr>
    </w:tbl>
    <w:p w:rsidR="00424A11" w:rsidRDefault="00424A11"/>
    <w:p w:rsidR="00424A11" w:rsidRDefault="00424A11">
      <w:r>
        <w:rPr>
          <w:noProof/>
          <w:lang w:eastAsia="ru-RU"/>
        </w:rPr>
        <w:drawing>
          <wp:inline distT="0" distB="0" distL="0" distR="0" wp14:anchorId="2665A77F" wp14:editId="78CFEC73">
            <wp:extent cx="5291666" cy="2807227"/>
            <wp:effectExtent l="0" t="0" r="23495" b="127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24A11" w:rsidRDefault="00424A11"/>
    <w:sectPr w:rsidR="0042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F3"/>
    <w:rsid w:val="001A6637"/>
    <w:rsid w:val="003B41DB"/>
    <w:rsid w:val="003C63F3"/>
    <w:rsid w:val="00424A11"/>
    <w:rsid w:val="00CF5E62"/>
    <w:rsid w:val="00E8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66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1804175047956841E-2"/>
          <c:y val="8.0956738272138673E-2"/>
          <c:w val="0.78881417880065108"/>
          <c:h val="0.6401140632902246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диагр!$D$1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диагр!$B$2:$B$3</c:f>
              <c:numCache>
                <c:formatCode>General</c:formatCode>
                <c:ptCount val="2"/>
              </c:numCache>
            </c:numRef>
          </c:cat>
          <c:val>
            <c:numRef>
              <c:f>диагр!$D$2:$D$3</c:f>
              <c:numCache>
                <c:formatCode>0.00%</c:formatCode>
                <c:ptCount val="2"/>
                <c:pt idx="0">
                  <c:v>-0.32557263411693799</c:v>
                </c:pt>
                <c:pt idx="1">
                  <c:v>0</c:v>
                </c:pt>
              </c:numCache>
            </c:numRef>
          </c:val>
        </c:ser>
        <c:ser>
          <c:idx val="1"/>
          <c:order val="1"/>
          <c:tx>
            <c:strRef>
              <c:f>диагр!$E$1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диагр!$B$2:$B$3</c:f>
              <c:numCache>
                <c:formatCode>General</c:formatCode>
                <c:ptCount val="2"/>
              </c:numCache>
            </c:numRef>
          </c:cat>
          <c:val>
            <c:numRef>
              <c:f>диагр!$E$2:$E$3</c:f>
              <c:numCache>
                <c:formatCode>General</c:formatCode>
                <c:ptCount val="2"/>
                <c:pt idx="0">
                  <c:v>0.46085744424352021</c:v>
                </c:pt>
                <c:pt idx="1">
                  <c:v>0.15789473684210525</c:v>
                </c:pt>
              </c:numCache>
            </c:numRef>
          </c:val>
        </c:ser>
        <c:ser>
          <c:idx val="3"/>
          <c:order val="2"/>
          <c:tx>
            <c:strRef>
              <c:f>диагр!$F$1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диагр!$F$2:$F$3</c:f>
              <c:numCache>
                <c:formatCode>0.00%</c:formatCode>
                <c:ptCount val="2"/>
                <c:pt idx="0">
                  <c:v>0.21356992163954189</c:v>
                </c:pt>
                <c:pt idx="1">
                  <c:v>0.84210526315789469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43728256"/>
        <c:axId val="149938176"/>
      </c:barChart>
      <c:catAx>
        <c:axId val="43728256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149938176"/>
        <c:crosses val="autoZero"/>
        <c:auto val="1"/>
        <c:lblAlgn val="ctr"/>
        <c:lblOffset val="100"/>
        <c:noMultiLvlLbl val="0"/>
      </c:catAx>
      <c:valAx>
        <c:axId val="149938176"/>
        <c:scaling>
          <c:orientation val="minMax"/>
          <c:max val="1"/>
        </c:scaling>
        <c:delete val="0"/>
        <c:axPos val="b"/>
        <c:numFmt formatCode="0%" sourceLinked="0"/>
        <c:majorTickMark val="out"/>
        <c:minorTickMark val="none"/>
        <c:tickLblPos val="nextTo"/>
        <c:crossAx val="43728256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900017247569318E-2"/>
          <c:y val="0.86827433194365033"/>
          <c:w val="0.74954648506716348"/>
          <c:h val="0.12207890239396976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5.1804175047956841E-2"/>
          <c:y val="8.0956738272138673E-2"/>
          <c:w val="0.78881417880065108"/>
          <c:h val="0.6401140632902246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диагр!$D$1</c:f>
              <c:strCache>
                <c:ptCount val="1"/>
                <c:pt idx="0">
                  <c:v>Ниже базового</c:v>
                </c:pt>
              </c:strCache>
            </c:strRef>
          </c:tx>
          <c:spPr>
            <a:pattFill prst="lt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диагр!$B$2:$B$3</c:f>
              <c:numCache>
                <c:formatCode>General</c:formatCode>
                <c:ptCount val="2"/>
              </c:numCache>
            </c:numRef>
          </c:cat>
          <c:val>
            <c:numRef>
              <c:f>диагр!$D$2:$D$3</c:f>
              <c:numCache>
                <c:formatCode>0.00%</c:formatCode>
                <c:ptCount val="2"/>
                <c:pt idx="0">
                  <c:v>-0.32557263411693799</c:v>
                </c:pt>
                <c:pt idx="1">
                  <c:v>-7.6923076923076927E-2</c:v>
                </c:pt>
              </c:numCache>
            </c:numRef>
          </c:val>
        </c:ser>
        <c:ser>
          <c:idx val="1"/>
          <c:order val="1"/>
          <c:tx>
            <c:strRef>
              <c:f>диагр!$E$1</c:f>
              <c:strCache>
                <c:ptCount val="1"/>
                <c:pt idx="0">
                  <c:v>Базовый</c:v>
                </c:pt>
              </c:strCache>
            </c:strRef>
          </c:tx>
          <c:spPr>
            <a:pattFill prst="pct80">
              <a:fgClr>
                <a:schemeClr val="tx1"/>
              </a:fgClr>
              <a:bgClr>
                <a:schemeClr val="bg1"/>
              </a:bgClr>
            </a:pattFill>
            <a:ln>
              <a:solidFill>
                <a:schemeClr val="tx1"/>
              </a:solidFill>
            </a:ln>
          </c:spPr>
          <c:invertIfNegative val="0"/>
          <c:cat>
            <c:numRef>
              <c:f>диагр!$B$2:$B$3</c:f>
              <c:numCache>
                <c:formatCode>General</c:formatCode>
                <c:ptCount val="2"/>
              </c:numCache>
            </c:numRef>
          </c:cat>
          <c:val>
            <c:numRef>
              <c:f>диагр!$E$2:$E$3</c:f>
              <c:numCache>
                <c:formatCode>General</c:formatCode>
                <c:ptCount val="2"/>
                <c:pt idx="0">
                  <c:v>0.46085744424352021</c:v>
                </c:pt>
                <c:pt idx="1">
                  <c:v>0.23076923076923078</c:v>
                </c:pt>
              </c:numCache>
            </c:numRef>
          </c:val>
        </c:ser>
        <c:ser>
          <c:idx val="3"/>
          <c:order val="2"/>
          <c:tx>
            <c:strRef>
              <c:f>диагр!$F$1</c:f>
              <c:strCache>
                <c:ptCount val="1"/>
                <c:pt idx="0">
                  <c:v>Повышенный</c:v>
                </c:pt>
              </c:strCache>
            </c:strRef>
          </c:tx>
          <c:spPr>
            <a:solidFill>
              <a:schemeClr val="bg1">
                <a:lumMod val="65000"/>
              </a:schemeClr>
            </a:solidFill>
            <a:ln>
              <a:solidFill>
                <a:schemeClr val="tx1"/>
              </a:solidFill>
            </a:ln>
          </c:spPr>
          <c:invertIfNegative val="0"/>
          <c:val>
            <c:numRef>
              <c:f>диагр!$F$2:$F$3</c:f>
              <c:numCache>
                <c:formatCode>0.00%</c:formatCode>
                <c:ptCount val="2"/>
                <c:pt idx="0">
                  <c:v>0.21356992163954189</c:v>
                </c:pt>
                <c:pt idx="1">
                  <c:v>0.69230769230769229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53789568"/>
        <c:axId val="153791104"/>
      </c:barChart>
      <c:catAx>
        <c:axId val="153789568"/>
        <c:scaling>
          <c:orientation val="minMax"/>
        </c:scaling>
        <c:delete val="0"/>
        <c:axPos val="l"/>
        <c:numFmt formatCode="General" sourceLinked="1"/>
        <c:majorTickMark val="cross"/>
        <c:minorTickMark val="none"/>
        <c:tickLblPos val="nextTo"/>
        <c:txPr>
          <a:bodyPr anchor="b" anchorCtr="1"/>
          <a:lstStyle/>
          <a:p>
            <a:pPr>
              <a:defRPr b="1"/>
            </a:pPr>
            <a:endParaRPr lang="ru-RU"/>
          </a:p>
        </c:txPr>
        <c:crossAx val="153791104"/>
        <c:crosses val="autoZero"/>
        <c:auto val="1"/>
        <c:lblAlgn val="ctr"/>
        <c:lblOffset val="100"/>
        <c:noMultiLvlLbl val="0"/>
      </c:catAx>
      <c:valAx>
        <c:axId val="153791104"/>
        <c:scaling>
          <c:orientation val="minMax"/>
          <c:max val="1"/>
        </c:scaling>
        <c:delete val="0"/>
        <c:axPos val="b"/>
        <c:numFmt formatCode="0%" sourceLinked="0"/>
        <c:majorTickMark val="out"/>
        <c:minorTickMark val="none"/>
        <c:tickLblPos val="nextTo"/>
        <c:crossAx val="153789568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9.7900017247569318E-2"/>
          <c:y val="0.86827433194365033"/>
          <c:w val="0.74954648506716348"/>
          <c:h val="0.12207890239396976"/>
        </c:manualLayout>
      </c:layout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0.81776</cdr:x>
      <cdr:y>0.16753</cdr:y>
    </cdr:from>
    <cdr:to>
      <cdr:x>0.946</cdr:x>
      <cdr:y>0.30481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27312" y="404695"/>
          <a:ext cx="678603" cy="33162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0.81</cdr:x>
      <cdr:y>0.48336</cdr:y>
    </cdr:from>
    <cdr:to>
      <cdr:x>0.944</cdr:x>
      <cdr:y>0.62064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286248" y="1167632"/>
          <a:ext cx="709084" cy="33161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0.81776</cdr:x>
      <cdr:y>0.16753</cdr:y>
    </cdr:from>
    <cdr:to>
      <cdr:x>0.946</cdr:x>
      <cdr:y>0.30481</cdr:y>
    </cdr:to>
    <cdr:sp macro="" textlink="">
      <cdr:nvSpPr>
        <cdr:cNvPr id="2" name="Прямоугольник 1"/>
        <cdr:cNvSpPr/>
      </cdr:nvSpPr>
      <cdr:spPr>
        <a:xfrm xmlns:a="http://schemas.openxmlformats.org/drawingml/2006/main">
          <a:off x="4327312" y="404695"/>
          <a:ext cx="678603" cy="331620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класс</a:t>
          </a:r>
          <a:endParaRPr lang="ru-RU">
            <a:solidFill>
              <a:sysClr val="windowText" lastClr="000000"/>
            </a:solidFill>
          </a:endParaRPr>
        </a:p>
      </cdr:txBody>
    </cdr:sp>
  </cdr:relSizeAnchor>
  <cdr:relSizeAnchor xmlns:cdr="http://schemas.openxmlformats.org/drawingml/2006/chartDrawing">
    <cdr:from>
      <cdr:x>0.81</cdr:x>
      <cdr:y>0.48336</cdr:y>
    </cdr:from>
    <cdr:to>
      <cdr:x>0.944</cdr:x>
      <cdr:y>0.62064</cdr:y>
    </cdr:to>
    <cdr:sp macro="" textlink="">
      <cdr:nvSpPr>
        <cdr:cNvPr id="3" name="Прямоугольник 2"/>
        <cdr:cNvSpPr/>
      </cdr:nvSpPr>
      <cdr:spPr>
        <a:xfrm xmlns:a="http://schemas.openxmlformats.org/drawingml/2006/main">
          <a:off x="4286248" y="1167632"/>
          <a:ext cx="709084" cy="33161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>
            <a:alpha val="0"/>
          </a:schemeClr>
        </a:solidFill>
        <a:ln xmlns:a="http://schemas.openxmlformats.org/drawingml/2006/main">
          <a:noFill/>
        </a:ln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1pPr>
          <a:lvl2pPr marL="457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2pPr>
          <a:lvl3pPr marL="914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3pPr>
          <a:lvl4pPr marL="1371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4pPr>
          <a:lvl5pPr marL="18288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5pPr>
          <a:lvl6pPr marL="22860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6pPr>
          <a:lvl7pPr marL="27432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7pPr>
          <a:lvl8pPr marL="32004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8pPr>
          <a:lvl9pPr marL="3657600" indent="0">
            <a:defRPr sz="1100">
              <a:solidFill>
                <a:schemeClr val="lt1"/>
              </a:solidFill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r>
            <a:rPr lang="en-US" baseline="0">
              <a:solidFill>
                <a:sysClr val="windowText" lastClr="000000"/>
              </a:solidFill>
            </a:rPr>
            <a:t> </a:t>
          </a:r>
          <a:r>
            <a:rPr lang="ru-RU" baseline="0">
              <a:solidFill>
                <a:sysClr val="windowText" lastClr="000000"/>
              </a:solidFill>
            </a:rPr>
            <a:t>регион</a:t>
          </a:r>
          <a:endParaRPr lang="ru-RU">
            <a:solidFill>
              <a:sysClr val="windowText" lastClr="000000"/>
            </a:solidFill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dcterms:created xsi:type="dcterms:W3CDTF">2021-06-16T08:23:00Z</dcterms:created>
  <dcterms:modified xsi:type="dcterms:W3CDTF">2021-06-17T12:09:00Z</dcterms:modified>
</cp:coreProperties>
</file>